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F37" w:rsidRDefault="00943F37" w:rsidP="006A72C7">
      <w:pPr>
        <w:spacing w:after="0" w:line="480" w:lineRule="auto"/>
        <w:rPr>
          <w:rFonts w:ascii="Times New Roman" w:hAnsi="Times New Roman"/>
          <w:sz w:val="24"/>
          <w:szCs w:val="24"/>
        </w:rPr>
      </w:pPr>
    </w:p>
    <w:p w:rsidR="00A21D0F" w:rsidRPr="00A64549" w:rsidRDefault="00A64549" w:rsidP="006A72C7">
      <w:pPr>
        <w:spacing w:after="0" w:line="480" w:lineRule="auto"/>
        <w:rPr>
          <w:rFonts w:ascii="Times New Roman" w:hAnsi="Times New Roman"/>
          <w:sz w:val="24"/>
          <w:szCs w:val="24"/>
        </w:rPr>
      </w:pPr>
      <w:r w:rsidRPr="00A64549">
        <w:rPr>
          <w:rFonts w:ascii="Times New Roman" w:hAnsi="Times New Roman"/>
          <w:sz w:val="24"/>
          <w:szCs w:val="24"/>
        </w:rPr>
        <w:t>Name:</w:t>
      </w:r>
    </w:p>
    <w:p w:rsidR="00A64549" w:rsidRPr="00A64549" w:rsidRDefault="00A64549" w:rsidP="006A72C7">
      <w:pPr>
        <w:spacing w:after="0" w:line="480" w:lineRule="auto"/>
        <w:rPr>
          <w:rFonts w:ascii="Times New Roman" w:hAnsi="Times New Roman"/>
          <w:sz w:val="24"/>
          <w:szCs w:val="24"/>
        </w:rPr>
      </w:pPr>
      <w:r w:rsidRPr="00A64549">
        <w:rPr>
          <w:rFonts w:ascii="Times New Roman" w:hAnsi="Times New Roman"/>
          <w:sz w:val="24"/>
          <w:szCs w:val="24"/>
        </w:rPr>
        <w:t>Tutor:</w:t>
      </w:r>
    </w:p>
    <w:p w:rsidR="00A64549" w:rsidRPr="00A64549" w:rsidRDefault="00A64549" w:rsidP="006A72C7">
      <w:pPr>
        <w:spacing w:after="0" w:line="480" w:lineRule="auto"/>
        <w:rPr>
          <w:rFonts w:ascii="Times New Roman" w:hAnsi="Times New Roman"/>
          <w:sz w:val="24"/>
          <w:szCs w:val="24"/>
        </w:rPr>
      </w:pPr>
      <w:r w:rsidRPr="00A64549">
        <w:rPr>
          <w:rFonts w:ascii="Times New Roman" w:hAnsi="Times New Roman"/>
          <w:sz w:val="24"/>
          <w:szCs w:val="24"/>
        </w:rPr>
        <w:t>Course:</w:t>
      </w:r>
    </w:p>
    <w:p w:rsidR="00A64549" w:rsidRPr="00A64549" w:rsidRDefault="00A64549" w:rsidP="006A72C7">
      <w:pPr>
        <w:spacing w:after="0" w:line="480" w:lineRule="auto"/>
        <w:rPr>
          <w:rFonts w:ascii="Times New Roman" w:hAnsi="Times New Roman"/>
          <w:sz w:val="24"/>
          <w:szCs w:val="24"/>
        </w:rPr>
      </w:pPr>
      <w:r w:rsidRPr="00A64549">
        <w:rPr>
          <w:rFonts w:ascii="Times New Roman" w:hAnsi="Times New Roman"/>
          <w:sz w:val="24"/>
          <w:szCs w:val="24"/>
        </w:rPr>
        <w:t>Date:</w:t>
      </w:r>
    </w:p>
    <w:p w:rsidR="00A64549" w:rsidRPr="002E19AF" w:rsidRDefault="006A72C7" w:rsidP="00F36667">
      <w:pPr>
        <w:tabs>
          <w:tab w:val="center" w:pos="4680"/>
          <w:tab w:val="left" w:pos="6756"/>
        </w:tabs>
        <w:spacing w:after="0" w:line="480" w:lineRule="auto"/>
        <w:jc w:val="both"/>
        <w:rPr>
          <w:rFonts w:ascii="Times New Roman" w:hAnsi="Times New Roman"/>
          <w:b/>
          <w:sz w:val="24"/>
          <w:szCs w:val="24"/>
        </w:rPr>
      </w:pPr>
      <w:r>
        <w:rPr>
          <w:rFonts w:ascii="Times New Roman" w:hAnsi="Times New Roman"/>
          <w:b/>
          <w:sz w:val="24"/>
          <w:szCs w:val="24"/>
        </w:rPr>
        <w:tab/>
      </w:r>
      <w:r w:rsidR="00AF298B">
        <w:rPr>
          <w:rFonts w:ascii="Times New Roman" w:hAnsi="Times New Roman"/>
          <w:b/>
          <w:sz w:val="24"/>
          <w:szCs w:val="24"/>
        </w:rPr>
        <w:t>Songs of Innocence and Experience.</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Natural themes, religion, and knowledge were used to allow Blake to educate his intended younger audience in specific terms about faith, the beauty of nature, and wrong things of the 18th-century Industrial revolution in 'Songs of Innocence,' particularly his children's adaptations to his romantic poetry.</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 xml:space="preserve">Blake's poetry may be teachable. However, Keats, who wrote the poem "The Human Seasons" only two decades after the </w:t>
      </w:r>
      <w:proofErr w:type="spellStart"/>
      <w:r w:rsidRPr="00164CF3">
        <w:rPr>
          <w:rFonts w:ascii="Times New Roman" w:hAnsi="Times New Roman"/>
          <w:sz w:val="24"/>
          <w:szCs w:val="24"/>
        </w:rPr>
        <w:t>Blak's</w:t>
      </w:r>
      <w:proofErr w:type="spellEnd"/>
      <w:r w:rsidRPr="00164CF3">
        <w:rPr>
          <w:rFonts w:ascii="Times New Roman" w:hAnsi="Times New Roman"/>
          <w:sz w:val="24"/>
          <w:szCs w:val="24"/>
        </w:rPr>
        <w:t xml:space="preserve"> Songs of Innocence, offers a much less "training" note, with the general observation of life due to its more casual written style, younger, innocent aging, and very short lifespan. As MacLeish notes, "a poem shouldn't be, nor should it be." These variables help to perceive. Keats doesn't mean teaching, but readers can also benefit from his poetry.</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Keats developed a traditional metaphor of human lives in the 'Human Seasons' for four seasons: spring young people, summer aging, autumn aging, and winter death. The reader will learn of the man's winter death from the last portion of the rhyme, as Keats tells the tale. In more challenging winter months, when nature's imminent death is readily understood as trees bark and bare, mortality may also be named, making it easier for people to agree that death is inevitable.</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lastRenderedPageBreak/>
        <w:t>This speech is incredibly moving to contemporary readers as the message was illustrated without teaching by his early death from tuberculosis. Similarly, Blake hopes his poem 'Holy Thursday' would help his followers (38). "Hunger land" Blake describes as "the never-ending winter." In connection with Keats' imminent morbidity in winter, Blake's "eternal" presence becomes even more foreboding. It can be seen as a perpetual world of ruin, rendered frightening by Blake's link to her children's history.</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The depiction of this hopeless nation teaches readers about the hardships children faced during the Industrial Revolution and the sometimes deadly wars (163). The title of 'Nurse's Song,' "spring and your day is lost," continues to use seasons as a life metaphor. The reader discovers the term "wasted." It is suggested that he not spend all of his youth becoming a boy but instead gaining maturity, which will be required later in life.</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Even so, Keats' Human Seasons claims that the poems are to be instructed. We see the importance of learning from the poetry in the winter section rather than being taught. The topic "focuses in all beauty" in the Spring portion of the poem, as Keats tries to foster and provoke a sense of discovery rather than leading the reader to a simple conclusion.</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r w:rsidRPr="00164CF3">
        <w:rPr>
          <w:rFonts w:ascii="Times New Roman" w:hAnsi="Times New Roman"/>
          <w:sz w:val="24"/>
          <w:szCs w:val="24"/>
        </w:rPr>
        <w:t>Approaches of the two poets to write poetry to teach their readers to have a lot in common, but somewhat different. Keats speaks about poetry and listens. Blake investigates poetry and teaches his readers.</w:t>
      </w: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p>
    <w:p w:rsidR="00164CF3" w:rsidRPr="00164CF3" w:rsidRDefault="00164CF3" w:rsidP="00FF20C9">
      <w:pPr>
        <w:tabs>
          <w:tab w:val="left" w:pos="1125"/>
        </w:tabs>
        <w:spacing w:line="480" w:lineRule="auto"/>
        <w:ind w:firstLine="1123"/>
        <w:contextualSpacing/>
        <w:rPr>
          <w:rFonts w:ascii="Times New Roman" w:hAnsi="Times New Roman"/>
          <w:sz w:val="24"/>
          <w:szCs w:val="24"/>
        </w:rPr>
      </w:pPr>
    </w:p>
    <w:p w:rsidR="00164CF3" w:rsidRPr="00164CF3" w:rsidRDefault="00164CF3" w:rsidP="00164CF3">
      <w:pPr>
        <w:tabs>
          <w:tab w:val="left" w:pos="1125"/>
        </w:tabs>
        <w:spacing w:line="480" w:lineRule="auto"/>
        <w:rPr>
          <w:rFonts w:ascii="Times New Roman" w:hAnsi="Times New Roman"/>
          <w:sz w:val="24"/>
          <w:szCs w:val="24"/>
        </w:rPr>
      </w:pPr>
    </w:p>
    <w:p w:rsidR="00164CF3" w:rsidRPr="00164CF3" w:rsidRDefault="00164CF3" w:rsidP="00164CF3">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943F37">
      <w:pPr>
        <w:tabs>
          <w:tab w:val="left" w:pos="1125"/>
        </w:tabs>
        <w:spacing w:line="480" w:lineRule="auto"/>
        <w:rPr>
          <w:rFonts w:ascii="Times New Roman" w:hAnsi="Times New Roman"/>
          <w:sz w:val="24"/>
          <w:szCs w:val="24"/>
        </w:rPr>
      </w:pPr>
    </w:p>
    <w:p w:rsidR="00315365" w:rsidRDefault="00315365" w:rsidP="00BA2F1A">
      <w:pPr>
        <w:tabs>
          <w:tab w:val="left" w:pos="1125"/>
        </w:tabs>
        <w:spacing w:line="480" w:lineRule="auto"/>
        <w:rPr>
          <w:rFonts w:ascii="Times New Roman" w:hAnsi="Times New Roman"/>
          <w:b/>
          <w:sz w:val="24"/>
          <w:szCs w:val="24"/>
        </w:rPr>
      </w:pPr>
      <w:r w:rsidRPr="000E7A6C">
        <w:rPr>
          <w:rFonts w:ascii="Times New Roman" w:hAnsi="Times New Roman"/>
          <w:b/>
          <w:sz w:val="24"/>
          <w:szCs w:val="24"/>
        </w:rPr>
        <w:t>Works Cited</w:t>
      </w:r>
    </w:p>
    <w:p w:rsidR="000E1163" w:rsidRDefault="00571BE0" w:rsidP="00BA2F1A">
      <w:pPr>
        <w:tabs>
          <w:tab w:val="left" w:pos="1125"/>
        </w:tabs>
        <w:spacing w:line="48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Viscomi</w:t>
      </w:r>
      <w:proofErr w:type="spellEnd"/>
      <w:r>
        <w:rPr>
          <w:rFonts w:ascii="Arial" w:hAnsi="Arial" w:cs="Arial"/>
          <w:color w:val="222222"/>
          <w:sz w:val="20"/>
          <w:szCs w:val="20"/>
          <w:shd w:val="clear" w:color="auto" w:fill="FFFFFF"/>
        </w:rPr>
        <w:t>, Joseph. </w:t>
      </w:r>
      <w:r>
        <w:rPr>
          <w:rFonts w:ascii="Arial" w:hAnsi="Arial" w:cs="Arial"/>
          <w:i/>
          <w:iCs/>
          <w:color w:val="222222"/>
          <w:sz w:val="20"/>
          <w:szCs w:val="20"/>
          <w:shd w:val="clear" w:color="auto" w:fill="FFFFFF"/>
        </w:rPr>
        <w:t>Blake and the Idea of the Book</w:t>
      </w:r>
      <w:r>
        <w:rPr>
          <w:rFonts w:ascii="Arial" w:hAnsi="Arial" w:cs="Arial"/>
          <w:color w:val="222222"/>
          <w:sz w:val="20"/>
          <w:szCs w:val="20"/>
          <w:shd w:val="clear" w:color="auto" w:fill="FFFFFF"/>
        </w:rPr>
        <w:t>. Princeton: Princeton University Press, 1993.</w:t>
      </w:r>
    </w:p>
    <w:p w:rsidR="001E6DFB" w:rsidRDefault="001E6DFB" w:rsidP="00BA2F1A">
      <w:pPr>
        <w:tabs>
          <w:tab w:val="left" w:pos="1125"/>
        </w:tabs>
        <w:spacing w:line="480" w:lineRule="auto"/>
        <w:ind w:left="720" w:hanging="720"/>
        <w:rPr>
          <w:rFonts w:ascii="Times New Roman" w:hAnsi="Times New Roman"/>
          <w:sz w:val="24"/>
          <w:szCs w:val="24"/>
        </w:rPr>
      </w:pPr>
      <w:r>
        <w:rPr>
          <w:rFonts w:ascii="Arial" w:hAnsi="Arial" w:cs="Arial"/>
          <w:color w:val="222222"/>
          <w:sz w:val="20"/>
          <w:szCs w:val="20"/>
          <w:shd w:val="clear" w:color="auto" w:fill="FFFFFF"/>
        </w:rPr>
        <w:t>Visconti, Amanda. </w:t>
      </w:r>
      <w:r>
        <w:rPr>
          <w:rFonts w:ascii="Arial" w:hAnsi="Arial" w:cs="Arial"/>
          <w:i/>
          <w:iCs/>
          <w:color w:val="222222"/>
          <w:sz w:val="20"/>
          <w:szCs w:val="20"/>
          <w:shd w:val="clear" w:color="auto" w:fill="FFFFFF"/>
        </w:rPr>
        <w:t>" Songs of Innocence and of Experience:" Amateur Users and Digital Texts</w:t>
      </w:r>
      <w:r>
        <w:rPr>
          <w:rFonts w:ascii="Arial" w:hAnsi="Arial" w:cs="Arial"/>
          <w:color w:val="222222"/>
          <w:sz w:val="20"/>
          <w:szCs w:val="20"/>
          <w:shd w:val="clear" w:color="auto" w:fill="FFFFFF"/>
        </w:rPr>
        <w:t>. Diss. 2010.</w:t>
      </w:r>
    </w:p>
    <w:p w:rsidR="000E7A6C" w:rsidRDefault="000E7A6C" w:rsidP="00BA2F1A">
      <w:pPr>
        <w:tabs>
          <w:tab w:val="left" w:pos="1125"/>
        </w:tabs>
        <w:spacing w:line="480" w:lineRule="auto"/>
        <w:ind w:left="720" w:hanging="720"/>
        <w:rPr>
          <w:rFonts w:ascii="Times New Roman" w:hAnsi="Times New Roman"/>
          <w:sz w:val="24"/>
          <w:szCs w:val="24"/>
        </w:rPr>
      </w:pPr>
    </w:p>
    <w:p w:rsidR="001E6DFB" w:rsidRPr="00315365" w:rsidRDefault="001E6DFB" w:rsidP="00BA2F1A">
      <w:pPr>
        <w:tabs>
          <w:tab w:val="left" w:pos="1125"/>
        </w:tabs>
        <w:spacing w:line="480" w:lineRule="auto"/>
        <w:ind w:left="720" w:hanging="720"/>
        <w:rPr>
          <w:rFonts w:ascii="Times New Roman" w:hAnsi="Times New Roman"/>
          <w:sz w:val="24"/>
          <w:szCs w:val="24"/>
        </w:rPr>
      </w:pPr>
    </w:p>
    <w:p w:rsidR="00152FC7" w:rsidRPr="00315365" w:rsidRDefault="00152FC7" w:rsidP="00BA2F1A">
      <w:pPr>
        <w:tabs>
          <w:tab w:val="left" w:pos="1125"/>
        </w:tabs>
        <w:spacing w:line="480" w:lineRule="auto"/>
        <w:ind w:left="720" w:hanging="720"/>
        <w:rPr>
          <w:rFonts w:ascii="Times New Roman" w:hAnsi="Times New Roman"/>
          <w:sz w:val="24"/>
          <w:szCs w:val="24"/>
        </w:rPr>
      </w:pPr>
    </w:p>
    <w:sectPr w:rsidR="00152FC7" w:rsidRPr="00315365" w:rsidSect="003371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26F5" w:rsidRDefault="004026F5" w:rsidP="00A64549">
      <w:pPr>
        <w:spacing w:after="0" w:line="240" w:lineRule="auto"/>
      </w:pPr>
      <w:r>
        <w:separator/>
      </w:r>
    </w:p>
  </w:endnote>
  <w:endnote w:type="continuationSeparator" w:id="0">
    <w:p w:rsidR="004026F5" w:rsidRDefault="004026F5" w:rsidP="00A6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26F5" w:rsidRDefault="004026F5" w:rsidP="00A64549">
      <w:pPr>
        <w:spacing w:after="0" w:line="240" w:lineRule="auto"/>
      </w:pPr>
      <w:r>
        <w:separator/>
      </w:r>
    </w:p>
  </w:footnote>
  <w:footnote w:type="continuationSeparator" w:id="0">
    <w:p w:rsidR="004026F5" w:rsidRDefault="004026F5" w:rsidP="00A6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338F" w:rsidRPr="009B10C3" w:rsidRDefault="001A338F">
    <w:pPr>
      <w:pStyle w:val="Header"/>
      <w:jc w:val="right"/>
      <w:rPr>
        <w:rFonts w:ascii="Times New Roman" w:hAnsi="Times New Roman"/>
        <w:sz w:val="24"/>
        <w:szCs w:val="24"/>
      </w:rPr>
    </w:pPr>
    <w:r w:rsidRPr="009B10C3">
      <w:rPr>
        <w:rFonts w:ascii="Times New Roman" w:hAnsi="Times New Roman"/>
        <w:sz w:val="24"/>
        <w:szCs w:val="24"/>
      </w:rPr>
      <w:t xml:space="preserve">Surname </w:t>
    </w:r>
    <w:r w:rsidR="004B3D5E" w:rsidRPr="009B10C3">
      <w:rPr>
        <w:rFonts w:ascii="Times New Roman" w:hAnsi="Times New Roman"/>
        <w:sz w:val="24"/>
        <w:szCs w:val="24"/>
      </w:rPr>
      <w:fldChar w:fldCharType="begin"/>
    </w:r>
    <w:r w:rsidRPr="009B10C3">
      <w:rPr>
        <w:rFonts w:ascii="Times New Roman" w:hAnsi="Times New Roman"/>
        <w:sz w:val="24"/>
        <w:szCs w:val="24"/>
      </w:rPr>
      <w:instrText xml:space="preserve"> PAGE   \* MERGEFORMAT </w:instrText>
    </w:r>
    <w:r w:rsidR="004B3D5E" w:rsidRPr="009B10C3">
      <w:rPr>
        <w:rFonts w:ascii="Times New Roman" w:hAnsi="Times New Roman"/>
        <w:sz w:val="24"/>
        <w:szCs w:val="24"/>
      </w:rPr>
      <w:fldChar w:fldCharType="separate"/>
    </w:r>
    <w:r w:rsidR="00FF20C9">
      <w:rPr>
        <w:rFonts w:ascii="Times New Roman" w:hAnsi="Times New Roman"/>
        <w:noProof/>
        <w:sz w:val="24"/>
        <w:szCs w:val="24"/>
      </w:rPr>
      <w:t>3</w:t>
    </w:r>
    <w:r w:rsidR="004B3D5E" w:rsidRPr="009B10C3">
      <w:rPr>
        <w:rFonts w:ascii="Times New Roman" w:hAnsi="Times New Roman"/>
        <w:sz w:val="24"/>
        <w:szCs w:val="24"/>
      </w:rPr>
      <w:fldChar w:fldCharType="end"/>
    </w:r>
  </w:p>
  <w:p w:rsidR="001A338F" w:rsidRDefault="001A3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yNjYyNTYyMrW0NLJU0lEKTi0uzszPAykwrgUAPkGbGSwAAAA="/>
  </w:docVars>
  <w:rsids>
    <w:rsidRoot w:val="003009D9"/>
    <w:rsid w:val="00000297"/>
    <w:rsid w:val="00003570"/>
    <w:rsid w:val="000E1163"/>
    <w:rsid w:val="000E7A6C"/>
    <w:rsid w:val="00152FC7"/>
    <w:rsid w:val="00153D96"/>
    <w:rsid w:val="00164CF3"/>
    <w:rsid w:val="001A338F"/>
    <w:rsid w:val="001D09E2"/>
    <w:rsid w:val="001E6DFB"/>
    <w:rsid w:val="002A1C4D"/>
    <w:rsid w:val="002E19AF"/>
    <w:rsid w:val="003009D9"/>
    <w:rsid w:val="00302591"/>
    <w:rsid w:val="003052F5"/>
    <w:rsid w:val="00315365"/>
    <w:rsid w:val="00337190"/>
    <w:rsid w:val="004026F5"/>
    <w:rsid w:val="004A25CF"/>
    <w:rsid w:val="004B3D5E"/>
    <w:rsid w:val="00571BE0"/>
    <w:rsid w:val="005A7E7B"/>
    <w:rsid w:val="005D7047"/>
    <w:rsid w:val="005E18F9"/>
    <w:rsid w:val="00620A3B"/>
    <w:rsid w:val="00633092"/>
    <w:rsid w:val="006A72C7"/>
    <w:rsid w:val="0070460F"/>
    <w:rsid w:val="007A1895"/>
    <w:rsid w:val="00937060"/>
    <w:rsid w:val="00943F37"/>
    <w:rsid w:val="00993823"/>
    <w:rsid w:val="009B10C3"/>
    <w:rsid w:val="00A21D0F"/>
    <w:rsid w:val="00A2674D"/>
    <w:rsid w:val="00A31427"/>
    <w:rsid w:val="00A47D1A"/>
    <w:rsid w:val="00A517D2"/>
    <w:rsid w:val="00A64549"/>
    <w:rsid w:val="00AA2524"/>
    <w:rsid w:val="00AF298B"/>
    <w:rsid w:val="00B54C54"/>
    <w:rsid w:val="00BA2F1A"/>
    <w:rsid w:val="00BA5A49"/>
    <w:rsid w:val="00BC55E2"/>
    <w:rsid w:val="00C06D47"/>
    <w:rsid w:val="00C22691"/>
    <w:rsid w:val="00C81E02"/>
    <w:rsid w:val="00CD5365"/>
    <w:rsid w:val="00D04AB6"/>
    <w:rsid w:val="00F16ADE"/>
    <w:rsid w:val="00F36667"/>
    <w:rsid w:val="00FF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D7FC81-33B1-B947-98FE-D06DE1C0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90"/>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49"/>
  </w:style>
  <w:style w:type="paragraph" w:styleId="Footer">
    <w:name w:val="footer"/>
    <w:basedOn w:val="Normal"/>
    <w:link w:val="FooterChar"/>
    <w:uiPriority w:val="99"/>
    <w:unhideWhenUsed/>
    <w:rsid w:val="00A6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49"/>
  </w:style>
  <w:style w:type="character" w:styleId="Hyperlink">
    <w:name w:val="Hyperlink"/>
    <w:uiPriority w:val="99"/>
    <w:unhideWhenUsed/>
    <w:rsid w:val="000E7A6C"/>
    <w:rPr>
      <w:color w:val="0563C1"/>
      <w:u w:val="single"/>
    </w:rPr>
  </w:style>
  <w:style w:type="character" w:styleId="FollowedHyperlink">
    <w:name w:val="FollowedHyperlink"/>
    <w:uiPriority w:val="99"/>
    <w:semiHidden/>
    <w:unhideWhenUsed/>
    <w:rsid w:val="00BA2F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254716226303</cp:lastModifiedBy>
  <cp:revision>2</cp:revision>
  <cp:lastPrinted>1601-01-01T00:00:00Z</cp:lastPrinted>
  <dcterms:created xsi:type="dcterms:W3CDTF">2021-03-24T03:22:00Z</dcterms:created>
  <dcterms:modified xsi:type="dcterms:W3CDTF">2021-03-24T03:22:00Z</dcterms:modified>
</cp:coreProperties>
</file>